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63595B8" w14:textId="627CC091">
      <w:pPr>
        <w:pBdr/>
        <w:spacing/>
        <w:ind/>
        <w:jc w:val="center"/>
        <w:rPr>
          <w:rFonts w:ascii="微軟正黑體" w:hAnsi="微軟正黑體" w:eastAsia="微軟正黑體"/>
          <w:b/>
          <w:bCs/>
        </w:rPr>
      </w:pPr>
      <w:r>
        <w:rPr>
          <w:rFonts w:hint="eastAsia" w:ascii="微軟正黑體" w:hAnsi="微軟正黑體" w:eastAsia="微軟正黑體"/>
          <w:b/>
          <w:bCs/>
        </w:rPr>
        <w:t xml:space="preserve">安泰銀行 實習職缺</w:t>
      </w:r>
      <w:r>
        <w:rPr>
          <w:rFonts w:ascii="微軟正黑體" w:hAnsi="微軟正黑體" w:eastAsia="微軟正黑體"/>
          <w:b/>
          <w:bCs/>
        </w:rPr>
      </w:r>
      <w:r>
        <w:rPr>
          <w:rFonts w:ascii="微軟正黑體" w:hAnsi="微軟正黑體" w:eastAsia="微軟正黑體"/>
          <w:b/>
          <w:bCs/>
        </w:rPr>
      </w:r>
    </w:p>
    <w:p w14:paraId="5C2C43E7" w14:textId="77777777">
      <w:pPr>
        <w:pBdr/>
        <w:spacing/>
        <w:ind/>
        <w:jc w:val="center"/>
        <w:rPr>
          <w:rFonts w:hint="eastAsia" w:ascii="微軟正黑體" w:hAnsi="微軟正黑體" w:eastAsia="微軟正黑體"/>
          <w:b/>
          <w:bCs/>
        </w:rPr>
      </w:pPr>
      <w:r>
        <w:rPr>
          <w:rFonts w:hint="eastAsia" w:ascii="微軟正黑體" w:hAnsi="微軟正黑體" w:eastAsia="微軟正黑體"/>
          <w:b/>
          <w:bCs/>
        </w:rPr>
      </w:r>
      <w:r>
        <w:rPr>
          <w:rFonts w:hint="eastAsia" w:ascii="微軟正黑體" w:hAnsi="微軟正黑體" w:eastAsia="微軟正黑體"/>
          <w:b/>
          <w:bCs/>
        </w:rPr>
      </w:r>
      <w:r>
        <w:rPr>
          <w:rFonts w:hint="eastAsia" w:ascii="微軟正黑體" w:hAnsi="微軟正黑體" w:eastAsia="微軟正黑體"/>
          <w:b/>
          <w:bCs/>
        </w:rPr>
      </w:r>
    </w:p>
    <w:tbl>
      <w:tblPr>
        <w:tblStyle w:val="906"/>
        <w:tblW w:w="0" w:type="auto"/>
        <w:tblBorders/>
        <w:tblLook w:val="04A0" w:firstRow="1" w:lastRow="0" w:firstColumn="1" w:lastColumn="0" w:noHBand="0" w:noVBand="1"/>
      </w:tblPr>
      <w:tblGrid>
        <w:gridCol w:w="2614"/>
        <w:gridCol w:w="3193"/>
        <w:gridCol w:w="2035"/>
        <w:gridCol w:w="2614"/>
      </w:tblGrid>
      <w:tr>
        <w:trPr/>
        <w:tc>
          <w:tcPr>
            <w:tcBorders/>
            <w:tcW w:w="2614" w:type="dxa"/>
          </w:tcPr>
          <w:p w14:paraId="5874FFF7" w14:textId="34153C44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實習機構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gridSpan w:val="3"/>
            <w:tcBorders/>
            <w:tcW w:w="7842" w:type="dxa"/>
          </w:tcPr>
          <w:p w14:paraId="4D74189B" w14:textId="2BEAB94A">
            <w:pPr>
              <w:pBdr/>
              <w:spacing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安泰銀行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tcBorders/>
            <w:tcW w:w="2614" w:type="dxa"/>
          </w:tcPr>
          <w:p w14:paraId="3F2A294E" w14:textId="1C70690A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實習類型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gridSpan w:val="3"/>
            <w:tcBorders/>
            <w:tcW w:w="7842" w:type="dxa"/>
          </w:tcPr>
          <w:p w14:paraId="1F8B2776" w14:textId="063ADEED">
            <w:pPr>
              <w:pBdr/>
              <w:spacing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下學期實習 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tcBorders/>
            <w:tcW w:w="2614" w:type="dxa"/>
          </w:tcPr>
          <w:p w14:paraId="137C7AF5" w14:textId="074CC3D5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實習地址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gridSpan w:val="3"/>
            <w:tcBorders/>
            <w:tcW w:w="7842" w:type="dxa"/>
          </w:tcPr>
          <w:p w14:paraId="731938F1" w14:textId="53103799">
            <w:pPr>
              <w:pBdr/>
              <w:spacing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總行、各營業分行、法金區域中心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tcBorders/>
            <w:tcW w:w="2614" w:type="dxa"/>
          </w:tcPr>
          <w:p w14:paraId="0BB93BC2" w14:textId="492C9CF7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聯絡人及電話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gridSpan w:val="3"/>
            <w:tcBorders/>
            <w:tcW w:w="7842" w:type="dxa"/>
          </w:tcPr>
          <w:p w14:paraId="0CDF9954" w14:textId="06DA107D">
            <w:pPr>
              <w:pBdr/>
              <w:spacing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陳秀品 / 02-8101-2277 #812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gridSpan w:val="4"/>
            <w:tcBorders/>
            <w:tcW w:w="10456" w:type="dxa"/>
          </w:tcPr>
          <w:p w14:paraId="66D450E7" w14:textId="356FB582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一、實習工作概況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</w:tr>
      <w:tr>
        <w:trPr/>
        <w:tc>
          <w:tcPr>
            <w:tcBorders/>
            <w:tcW w:w="2614" w:type="dxa"/>
          </w:tcPr>
          <w:p w14:paraId="33EBC29B" w14:textId="33B870BC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實習內容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gridSpan w:val="3"/>
            <w:tcBorders/>
            <w:tcW w:w="7842" w:type="dxa"/>
          </w:tcPr>
          <w:p w14:paraId="2B7C1CE0" w14:textId="2E301776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√</w:t>
            </w:r>
            <w:r>
              <w:rPr>
                <w:rFonts w:hint="eastAsia" w:ascii="微軟正黑體" w:hAnsi="微軟正黑體" w:eastAsia="微軟正黑體"/>
              </w:rPr>
              <w:t xml:space="preserve">甄選對象:大四學生</w:t>
            </w:r>
            <w:r>
              <w:rPr>
                <w:rFonts w:hint="eastAsia" w:ascii="微軟正黑體" w:hAnsi="微軟正黑體" w:eastAsia="微軟正黑體"/>
              </w:rPr>
              <w:t xml:space="preserve">、</w:t>
            </w:r>
            <w:r>
              <w:rPr>
                <w:rFonts w:hint="eastAsia" w:ascii="微軟正黑體" w:hAnsi="微軟正黑體" w:eastAsia="微軟正黑體"/>
              </w:rPr>
              <w:t xml:space="preserve">碩</w:t>
            </w:r>
            <w:r>
              <w:rPr>
                <w:rFonts w:hint="eastAsia" w:ascii="微軟正黑體" w:hAnsi="微軟正黑體" w:eastAsia="微軟正黑體"/>
              </w:rPr>
              <w:t xml:space="preserve">二</w:t>
            </w:r>
            <w:r>
              <w:rPr>
                <w:rFonts w:hint="eastAsia" w:ascii="微軟正黑體" w:hAnsi="微軟正黑體" w:eastAsia="微軟正黑體"/>
              </w:rPr>
              <w:t xml:space="preserve">生</w:t>
            </w:r>
            <w:r>
              <w:rPr>
                <w:rFonts w:hint="eastAsia" w:ascii="微軟正黑體" w:hAnsi="微軟正黑體" w:eastAsia="微軟正黑體"/>
              </w:rPr>
              <w:t xml:space="preserve">與</w:t>
            </w:r>
            <w:r>
              <w:rPr>
                <w:rFonts w:hint="eastAsia" w:ascii="微軟正黑體" w:hAnsi="微軟正黑體" w:eastAsia="微軟正黑體"/>
              </w:rPr>
              <w:t xml:space="preserve">五</w:t>
            </w:r>
            <w:r>
              <w:rPr>
                <w:rFonts w:hint="eastAsia" w:ascii="微軟正黑體" w:hAnsi="微軟正黑體" w:eastAsia="微軟正黑體"/>
              </w:rPr>
              <w:t xml:space="preserve">年</w:t>
            </w:r>
            <w:r>
              <w:rPr>
                <w:rFonts w:hint="eastAsia" w:ascii="微軟正黑體" w:hAnsi="微軟正黑體" w:eastAsia="微軟正黑體"/>
              </w:rPr>
              <w:t xml:space="preserve">一</w:t>
            </w:r>
            <w:r>
              <w:rPr>
                <w:rFonts w:hint="eastAsia" w:ascii="微軟正黑體" w:hAnsi="微軟正黑體" w:eastAsia="微軟正黑體"/>
              </w:rPr>
              <w:t xml:space="preserve">貫</w:t>
            </w:r>
            <w:r>
              <w:rPr>
                <w:rFonts w:hint="eastAsia" w:ascii="微軟正黑體" w:hAnsi="微軟正黑體" w:eastAsia="微軟正黑體"/>
              </w:rPr>
              <w:t xml:space="preserve">研</w:t>
            </w:r>
            <w:r>
              <w:rPr>
                <w:rFonts w:hint="eastAsia" w:ascii="微軟正黑體" w:hAnsi="微軟正黑體" w:eastAsia="微軟正黑體"/>
              </w:rPr>
              <w:t xml:space="preserve">一</w:t>
            </w:r>
            <w:r>
              <w:rPr>
                <w:rFonts w:hint="eastAsia" w:ascii="微軟正黑體" w:hAnsi="微軟正黑體" w:eastAsia="微軟正黑體"/>
              </w:rPr>
              <w:t xml:space="preserve">生</w:t>
            </w:r>
            <w:r>
              <w:rPr>
                <w:rFonts w:hint="eastAsia" w:ascii="微軟正黑體" w:hAnsi="微軟正黑體" w:eastAsia="微軟正黑體"/>
                <w:lang w:val="zh-TW"/>
              </w:rPr>
              <w:t xml:space="preserve">(</w:t>
            </w:r>
            <w:r>
              <w:rPr>
                <w:rFonts w:hint="eastAsia" w:ascii="微軟正黑體" w:hAnsi="微軟正黑體" w:eastAsia="微軟正黑體"/>
              </w:rPr>
              <w:t xml:space="preserve">116年6月畢業</w:t>
            </w:r>
            <w:r>
              <w:rPr>
                <w:rFonts w:hint="eastAsia" w:ascii="微軟正黑體" w:hAnsi="微軟正黑體" w:eastAsia="微軟正黑體"/>
                <w:lang w:val="zh-TW"/>
              </w:rPr>
              <w:t xml:space="preserve">)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536C847B" w14:textId="7C54E6B4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highlight w:val="none"/>
              </w:rPr>
            </w:pPr>
            <w:r>
              <w:rPr>
                <w:rFonts w:hint="eastAsia" w:ascii="微軟正黑體" w:hAnsi="微軟正黑體" w:eastAsia="微軟正黑體"/>
              </w:rPr>
              <w:t xml:space="preserve">√</w:t>
            </w:r>
            <w:r>
              <w:rPr>
                <w:rFonts w:hint="eastAsia" w:ascii="微軟正黑體" w:hAnsi="微軟正黑體" w:eastAsia="微軟正黑體"/>
              </w:rPr>
              <w:t xml:space="preserve">實習期間:2027/2/</w:t>
            </w:r>
            <w:r>
              <w:rPr>
                <w:rFonts w:hint="eastAsia" w:ascii="微軟正黑體" w:hAnsi="微軟正黑體" w:eastAsia="微軟正黑體"/>
                <w:lang w:val="zh-TW"/>
              </w:rPr>
              <w:t xml:space="preserve">22</w:t>
            </w:r>
            <w:r>
              <w:rPr>
                <w:rFonts w:hint="eastAsia" w:ascii="微軟正黑體" w:hAnsi="微軟正黑體" w:eastAsia="微軟正黑體"/>
              </w:rPr>
              <w:t xml:space="preserve">-2027/6/</w:t>
            </w:r>
            <w:r>
              <w:rPr>
                <w:rFonts w:hint="eastAsia" w:ascii="微軟正黑體" w:hAnsi="微軟正黑體" w:eastAsia="微軟正黑體"/>
                <w:lang w:val="zh-TW"/>
              </w:rPr>
              <w:t xml:space="preserve">25</w:t>
            </w:r>
            <w:r>
              <w:rPr>
                <w:rFonts w:hint="eastAsia" w:ascii="微軟正黑體" w:hAnsi="微軟正黑體" w:eastAsia="微軟正黑體"/>
              </w:rPr>
              <w:t xml:space="preserve">(暫訂)</w:t>
            </w:r>
            <w:r>
              <w:rPr>
                <w:rFonts w:ascii="微軟正黑體" w:hAnsi="微軟正黑體" w:eastAsia="微軟正黑體"/>
              </w:rPr>
            </w:r>
          </w:p>
          <w:p w14:paraId="23993FC7">
            <w:pPr>
              <w:pBdr/>
              <w:spacing w:line="360" w:lineRule="exact"/>
              <w:ind/>
              <w:rPr>
                <w:rFonts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  <w:highlight w:val="none"/>
                <w:lang w:val="zh-TW"/>
              </w:rPr>
              <w:t xml:space="preserve">              </w:t>
            </w:r>
            <w:r>
              <w:rPr>
                <w:rFonts w:hint="eastAsia" w:ascii="微軟正黑體" w:hAnsi="微軟正黑體" w:eastAsia="微軟正黑體"/>
                <w:highlight w:val="none"/>
                <w:lang w:val="zh-TW"/>
              </w:rPr>
              <w:t xml:space="preserve">表</w:t>
            </w:r>
            <w:r>
              <w:rPr>
                <w:rFonts w:hint="eastAsia" w:ascii="微軟正黑體" w:hAnsi="微軟正黑體" w:eastAsia="微軟正黑體"/>
                <w:highlight w:val="none"/>
                <w:lang w:val="zh-TW"/>
              </w:rPr>
              <w:t xml:space="preserve">現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優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異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的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實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習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生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轉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正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、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開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始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正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職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的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工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作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日</w:t>
            </w:r>
            <w:r>
              <w:rPr>
                <w:rFonts w:hint="eastAsia" w:ascii="微軟正黑體" w:hAnsi="微軟正黑體" w:eastAsia="微軟正黑體"/>
                <w:highlight w:val="none"/>
              </w:rPr>
              <w:t xml:space="preserve">為</w:t>
            </w:r>
            <w:r>
              <w:rPr>
                <w:rFonts w:hint="eastAsia" w:ascii="微軟正黑體" w:hAnsi="微軟正黑體" w:eastAsia="微軟正黑體"/>
                <w:highlight w:val="none"/>
                <w:lang w:val="zh-TW"/>
              </w:rPr>
              <w:t xml:space="preserve">6/28</w:t>
            </w:r>
            <w:r>
              <w:rPr>
                <w:rFonts w:hint="eastAsia" w:ascii="微軟正黑體" w:hAnsi="微軟正黑體" w:eastAsia="微軟正黑體"/>
                <w:highlight w:val="none"/>
              </w:rPr>
            </w:r>
            <w:r>
              <w:rPr>
                <w:rFonts w:hint="eastAsia" w:ascii="微軟正黑體" w:hAnsi="微軟正黑體" w:eastAsia="微軟正黑體"/>
                <w:highlight w:val="none"/>
              </w:rPr>
            </w:r>
          </w:p>
          <w:p w14:paraId="4A724DDE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05234AFD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【櫃台存匯】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36007964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銀行一般收付作業、票據、匯款、定存作業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4B3DD4FB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【儲備理財菁英】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1E20915B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系統化的培訓,規劃系列專業課程、實務演練,養成理財金融專業人才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62750050" w14:textId="4BAFF11F">
            <w:pPr>
              <w:pBdr/>
              <w:spacing w:line="360" w:lineRule="exact"/>
              <w:ind/>
              <w:rPr>
                <w:rFonts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</w:t>
            </w: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數</w:t>
            </w: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位金融客服】</w:t>
            </w:r>
            <w:r>
              <w:rPr>
                <w:rFonts w:ascii="微軟正黑體" w:hAnsi="微軟正黑體" w:eastAsia="微軟正黑體"/>
                <w:b/>
                <w:bCs/>
              </w:rPr>
            </w:r>
            <w:r>
              <w:rPr>
                <w:rFonts w:ascii="微軟正黑體" w:hAnsi="微軟正黑體" w:eastAsia="微軟正黑體"/>
                <w:b/>
                <w:bCs/>
              </w:rPr>
            </w:r>
          </w:p>
          <w:p w14:paraId="51B3AF24" w14:textId="37C222E1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接聽客戶服務專線(電話+文字客服),指派Mentor 輔導並安排一系列信用卡產品及客服專業培訓,培育傾聽、應對溝通技巧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7552DC8E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【法金客戶經理助理】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793999DB" w14:textId="28348A2A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協助</w:t>
            </w:r>
            <w:r>
              <w:rPr>
                <w:rFonts w:ascii="微軟正黑體" w:hAnsi="微軟正黑體" w:eastAsia="微軟正黑體"/>
              </w:rPr>
              <w:t xml:space="preserve">RM(</w:t>
            </w:r>
            <w:r>
              <w:rPr>
                <w:rFonts w:hint="eastAsia" w:ascii="微軟正黑體" w:hAnsi="微軟正黑體" w:eastAsia="微軟正黑體"/>
              </w:rPr>
              <w:t xml:space="preserve">企業客户經理</w:t>
            </w:r>
            <w:r>
              <w:rPr>
                <w:rFonts w:ascii="微軟正黑體" w:hAnsi="微軟正黑體" w:eastAsia="微軟正黑體"/>
              </w:rPr>
              <w:t xml:space="preserve">)</w:t>
            </w:r>
            <w:r>
              <w:rPr>
                <w:rFonts w:hint="eastAsia" w:ascii="微軟正黑體" w:hAnsi="微軟正黑體" w:eastAsia="微軟正黑體"/>
              </w:rPr>
              <w:t xml:space="preserve">在企業</w:t>
            </w:r>
            <w:r>
              <w:rPr>
                <w:rFonts w:hint="eastAsia" w:ascii="微軟正黑體" w:hAnsi="微軟正黑體" w:eastAsia="微軟正黑體"/>
              </w:rPr>
              <w:t xml:space="preserve">與</w:t>
            </w:r>
            <w:r>
              <w:rPr>
                <w:rFonts w:hint="eastAsia" w:ascii="微軟正黑體" w:hAnsi="微軟正黑體" w:eastAsia="微軟正黑體"/>
              </w:rPr>
              <w:t xml:space="preserve">銀行間之企業貸款財務分析、溝通及擔任業務執行時的橋樑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31D069FC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【財務部 金融交易】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237EB31A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-資產負債管理:負責全行流動性管理與資產負債管理。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4EA9BC05" w14:textId="77777777">
            <w:pPr>
              <w:pBdr/>
              <w:spacing w:line="360" w:lineRule="exact"/>
              <w:ind/>
              <w:rPr>
                <w:rFonts w:ascii="微軟正黑體" w:hAnsi="微軟正黑體" w:eastAsia="微軟正黑體"/>
              </w:rPr>
            </w:pPr>
            <w:r>
              <w:rPr>
                <w:rFonts w:ascii="微軟正黑體" w:hAnsi="微軟正黑體" w:eastAsia="微軟正黑體"/>
              </w:rPr>
              <w:t xml:space="preserve">-</w:t>
            </w:r>
            <w:r>
              <w:rPr>
                <w:rFonts w:hint="eastAsia" w:ascii="微軟正黑體" w:hAnsi="微軟正黑體" w:eastAsia="微軟正黑體"/>
              </w:rPr>
              <w:t xml:space="preserve">交易與業務執行</w:t>
            </w:r>
            <w:r>
              <w:rPr>
                <w:rFonts w:ascii="微軟正黑體" w:hAnsi="微軟正黑體" w:eastAsia="微軟正黑體"/>
              </w:rPr>
              <w:t xml:space="preserve">:</w:t>
            </w:r>
            <w:r>
              <w:rPr>
                <w:rFonts w:hint="eastAsia" w:ascii="微軟正黑體" w:hAnsi="微軟正黑體" w:eastAsia="微軟正黑體"/>
              </w:rPr>
              <w:t xml:space="preserve">執行客户端金融商品交易</w:t>
            </w:r>
            <w:r>
              <w:rPr>
                <w:rFonts w:ascii="微軟正黑體" w:hAnsi="微軟正黑體" w:eastAsia="微軟正黑體"/>
              </w:rPr>
              <w:t xml:space="preserve">,</w:t>
            </w:r>
            <w:r>
              <w:rPr>
                <w:rFonts w:hint="eastAsia" w:ascii="微軟正黑體" w:hAnsi="微軟正黑體" w:eastAsia="微軟正黑體"/>
              </w:rPr>
              <w:t xml:space="preserve">銀行間金融商品交易</w:t>
            </w:r>
            <w:r>
              <w:rPr>
                <w:rFonts w:ascii="微軟正黑體" w:hAnsi="微軟正黑體" w:eastAsia="微軟正黑體"/>
              </w:rPr>
              <w:t xml:space="preserve">,</w:t>
            </w:r>
            <w:r>
              <w:rPr>
                <w:rFonts w:ascii="微軟正黑體" w:hAnsi="微軟正黑體" w:eastAsia="微軟正黑體"/>
              </w:rPr>
            </w:r>
            <w:r>
              <w:rPr>
                <w:rFonts w:ascii="微軟正黑體" w:hAnsi="微軟正黑體" w:eastAsia="微軟正黑體"/>
              </w:rPr>
            </w:r>
          </w:p>
          <w:p w14:paraId="609EE1E8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包含外匯、固定收益、股權與衍生性商品交易。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4A4D762B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-法規遵循:管理交易合約(如ISDA),確保業務符合法令規範。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00FC3F9D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【存匯、防洗作業】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570ED7F0" w14:textId="4A170B94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銀行一般收付交易</w:t>
            </w:r>
            <w:r>
              <w:rPr>
                <w:rFonts w:ascii="微軟正黑體" w:hAnsi="微軟正黑體" w:eastAsia="微軟正黑體"/>
              </w:rPr>
              <w:t xml:space="preserve">(</w:t>
            </w:r>
            <w:r>
              <w:rPr>
                <w:rFonts w:hint="eastAsia" w:ascii="微軟正黑體" w:hAnsi="微軟正黑體" w:eastAsia="微軟正黑體"/>
              </w:rPr>
              <w:t xml:space="preserve">無現金</w:t>
            </w:r>
            <w:r>
              <w:rPr>
                <w:rFonts w:ascii="微軟正黑體" w:hAnsi="微軟正黑體" w:eastAsia="微軟正黑體"/>
              </w:rPr>
              <w:t xml:space="preserve">)</w:t>
            </w:r>
            <w:r>
              <w:rPr>
                <w:rFonts w:hint="eastAsia" w:ascii="微軟正黑體" w:hAnsi="微軟正黑體" w:eastAsia="微軟正黑體"/>
              </w:rPr>
              <w:t xml:space="preserve">、票據、匯款、定存、信用卡、洗錢防制</w:t>
            </w:r>
            <w:r>
              <w:rPr>
                <w:rFonts w:ascii="微軟正黑體" w:hAnsi="微軟正黑體" w:eastAsia="微軟正黑體"/>
              </w:rPr>
              <w:t xml:space="preserve">&amp;</w:t>
            </w:r>
            <w:r>
              <w:rPr>
                <w:rFonts w:hint="eastAsia" w:ascii="微軟正黑體" w:hAnsi="微軟正黑體" w:eastAsia="微軟正黑體"/>
              </w:rPr>
              <w:t xml:space="preserve">打擊</w:t>
            </w:r>
            <w:r>
              <w:rPr>
                <w:rFonts w:hint="eastAsia" w:ascii="微軟正黑體" w:hAnsi="微軟正黑體" w:eastAsia="微軟正黑體"/>
              </w:rPr>
              <w:t xml:space="preserve">資</w:t>
            </w:r>
            <w:r>
              <w:rPr>
                <w:rFonts w:hint="eastAsia" w:ascii="微軟正黑體" w:hAnsi="微軟正黑體" w:eastAsia="微軟正黑體"/>
              </w:rPr>
              <w:t xml:space="preserve">恐等相關作業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6F7EF697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【市場風險管理】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0DBE5C08" w14:textId="71240CD2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日常市場風險管理工作(編制管理報表、限額控管等)、金融商品評價、準備風險管理會議資料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5ADD5C45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【人力資源】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7929BA33" w14:textId="77777777">
            <w:pPr>
              <w:pBdr/>
              <w:spacing w:line="360" w:lineRule="exact"/>
              <w:ind/>
              <w:rPr>
                <w:rFonts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招募企劃與執行、HR優化專業支援</w:t>
            </w:r>
            <w:r>
              <w:rPr>
                <w:rFonts w:ascii="微軟正黑體" w:hAnsi="微軟正黑體" w:eastAsia="微軟正黑體"/>
              </w:rPr>
            </w:r>
            <w:r>
              <w:rPr>
                <w:rFonts w:ascii="微軟正黑體" w:hAnsi="微軟正黑體" w:eastAsia="微軟正黑體"/>
              </w:rPr>
            </w:r>
          </w:p>
          <w:p w14:paraId="79778092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50D92F63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highlight w:val="none"/>
              </w:rPr>
            </w:pPr>
            <w:r>
              <w:rPr>
                <w:rFonts w:hint="eastAsia" w:ascii="微軟正黑體" w:hAnsi="微軟正黑體" w:eastAsia="微軟正黑體"/>
              </w:rPr>
              <w:t xml:space="preserve">請</w:t>
            </w:r>
            <w:r>
              <w:rPr>
                <w:rFonts w:hint="eastAsia" w:ascii="微軟正黑體" w:hAnsi="微軟正黑體" w:eastAsia="微軟正黑體"/>
              </w:rPr>
              <w:t xml:space="preserve">於</w:t>
            </w:r>
            <w:r>
              <w:rPr>
                <w:rFonts w:ascii="微軟正黑體" w:hAnsi="微軟正黑體" w:eastAsia="微軟正黑體"/>
              </w:rPr>
              <w:t xml:space="preserve">104</w:t>
            </w:r>
            <w:r>
              <w:rPr>
                <w:rFonts w:hint="eastAsia" w:ascii="微軟正黑體" w:hAnsi="微軟正黑體" w:eastAsia="微軟正黑體"/>
              </w:rPr>
              <w:t xml:space="preserve">人力銀行捜</w:t>
            </w:r>
            <w:r>
              <w:rPr>
                <w:rFonts w:hint="eastAsia" w:ascii="微軟正黑體" w:hAnsi="微軟正黑體" w:eastAsia="微軟正黑體"/>
              </w:rPr>
              <w:t xml:space="preserve">尋</w:t>
            </w:r>
            <w:r>
              <w:rPr>
                <w:rFonts w:hint="eastAsia" w:ascii="微軟正黑體" w:hAnsi="微軟正黑體" w:eastAsia="微軟正黑體"/>
              </w:rPr>
              <w:t xml:space="preserve">「</w:t>
            </w:r>
            <w:r>
              <w:rPr>
                <w:rFonts w:ascii="微軟正黑體" w:hAnsi="微軟正黑體" w:eastAsia="微軟正黑體"/>
              </w:rPr>
              <w:t xml:space="preserve">2027</w:t>
            </w:r>
            <w:r>
              <w:rPr>
                <w:rFonts w:hint="eastAsia" w:ascii="微軟正黑體" w:hAnsi="微軟正黑體" w:eastAsia="微軟正黑體"/>
              </w:rPr>
              <w:t xml:space="preserve">學期實習」了解工作詳情</w:t>
            </w:r>
            <w:r>
              <w:rPr>
                <w:rFonts w:hint="eastAsia" w:ascii="微軟正黑體" w:hAnsi="微軟正黑體" w:eastAsia="微軟正黑體"/>
                <w:highlight w:val="none"/>
              </w:rPr>
            </w:r>
            <w:r>
              <w:rPr>
                <w:rFonts w:hint="eastAsia" w:ascii="微軟正黑體" w:hAnsi="微軟正黑體" w:eastAsia="微軟正黑體"/>
                <w:highlight w:val="none"/>
              </w:rPr>
            </w:r>
          </w:p>
          <w:p w14:paraId="1C816DD6">
            <w:pPr>
              <w:pBdr/>
              <w:spacing w:line="360" w:lineRule="exact"/>
              <w:ind/>
              <w:rPr>
                <w:rFonts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  <w:highlight w:val="none"/>
              </w:rPr>
            </w:r>
            <w:hyperlink r:id="rId8" w:tooltip="https://reurl.cc/gNRZx7" w:history="1">
              <w:r>
                <w:rPr>
                  <w:rStyle w:val="859"/>
                  <w:rFonts w:ascii="Arial" w:hAnsi="Arial" w:eastAsia="Arial" w:cs="Arial"/>
                  <w:color w:val="1155cc"/>
                  <w:highlight w:val="white"/>
                  <w:u w:val="single"/>
                </w:rPr>
                <w:t xml:space="preserve">https://reurl.cc/gNRZx7</w:t>
              </w:r>
            </w:hyperlink>
            <w:r>
              <w:rPr>
                <w:rFonts w:ascii="微軟正黑體" w:hAnsi="微軟正黑體" w:eastAsia="微軟正黑體"/>
              </w:rPr>
            </w:r>
            <w:r>
              <w:rPr>
                <w:rFonts w:ascii="微軟正黑體" w:hAnsi="微軟正黑體" w:eastAsia="微軟正黑體"/>
              </w:rPr>
            </w:r>
          </w:p>
        </w:tc>
      </w:tr>
      <w:tr>
        <w:trPr/>
        <w:tc>
          <w:tcPr>
            <w:tcBorders/>
            <w:tcW w:w="2614" w:type="dxa"/>
          </w:tcPr>
          <w:p w14:paraId="59B3C7DC" w14:textId="560C8972">
            <w:pPr>
              <w:pBdr/>
              <w:spacing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需求條件或專長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gridSpan w:val="3"/>
            <w:tcBorders/>
            <w:tcW w:w="7842" w:type="dxa"/>
          </w:tcPr>
          <w:p w14:paraId="1487D1A8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【櫃台存匯】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3982CFAE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具備金融相關證照或外文證照者尤佳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6A662225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【儲備理財菁英】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6B38E0C5" w14:textId="7E498D7B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有信託業務、投信投顧法規、人身保險業務員之金融證照者尤佳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0013E506" w14:textId="77777777">
            <w:pPr>
              <w:pBdr/>
              <w:spacing w:line="360" w:lineRule="exact"/>
              <w:ind/>
              <w:rPr>
                <w:rFonts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【法金客户經理助理】</w:t>
            </w:r>
            <w:r>
              <w:rPr>
                <w:rFonts w:ascii="微軟正黑體" w:hAnsi="微軟正黑體" w:eastAsia="微軟正黑體"/>
                <w:b/>
                <w:bCs/>
              </w:rPr>
            </w:r>
            <w:r>
              <w:rPr>
                <w:rFonts w:ascii="微軟正黑體" w:hAnsi="微軟正黑體" w:eastAsia="微軟正黑體"/>
                <w:b/>
                <w:bCs/>
              </w:rPr>
            </w:r>
          </w:p>
          <w:p w14:paraId="1645C99C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具備金融相關證照或外文證照者尤佳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6A574959" w14:textId="77777777">
            <w:pPr>
              <w:pBdr/>
              <w:spacing w:line="360" w:lineRule="exact"/>
              <w:ind/>
              <w:rPr>
                <w:rFonts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【財務部 金融交易】</w:t>
            </w:r>
            <w:r>
              <w:rPr>
                <w:rFonts w:ascii="微軟正黑體" w:hAnsi="微軟正黑體" w:eastAsia="微軟正黑體"/>
                <w:b/>
                <w:bCs/>
              </w:rPr>
            </w:r>
            <w:r>
              <w:rPr>
                <w:rFonts w:ascii="微軟正黑體" w:hAnsi="微軟正黑體" w:eastAsia="微軟正黑體"/>
                <w:b/>
                <w:bCs/>
              </w:rPr>
            </w:r>
          </w:p>
          <w:p w14:paraId="782A2CD9" w14:textId="32F70F8B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sz w:val="22"/>
                <w:szCs w:val="22"/>
              </w:rPr>
            </w:pPr>
            <w:r>
              <w:rPr>
                <w:rFonts w:hint="eastAsia" w:ascii="微軟正黑體" w:hAnsi="微軟正黑體" w:eastAsia="微軟正黑體"/>
              </w:rPr>
              <w:t xml:space="preserve">1</w:t>
            </w:r>
            <w:r>
              <w:rPr>
                <w:rFonts w:hint="eastAsia" w:ascii="微軟正黑體" w:hAnsi="微軟正黑體" w:eastAsia="微軟正黑體"/>
                <w:sz w:val="22"/>
                <w:szCs w:val="22"/>
              </w:rPr>
              <w:t xml:space="preserve">熟悉OFFICE辦公室作業軟體運用(EXCEL</w:t>
            </w:r>
            <w:r>
              <w:rPr>
                <w:rFonts w:hint="eastAsia" w:ascii="微軟正黑體" w:hAnsi="微軟正黑體" w:eastAsia="微軟正黑體"/>
                <w:sz w:val="22"/>
                <w:szCs w:val="22"/>
              </w:rPr>
              <w:t xml:space="preserve">、</w:t>
            </w:r>
            <w:r>
              <w:rPr>
                <w:rFonts w:hint="eastAsia" w:ascii="微軟正黑體" w:hAnsi="微軟正黑體" w:eastAsia="微軟正黑體"/>
                <w:sz w:val="22"/>
                <w:szCs w:val="22"/>
              </w:rPr>
              <w:t xml:space="preserve">WORD、POWERPOINT等)</w:t>
            </w:r>
            <w:r>
              <w:rPr>
                <w:rFonts w:hint="eastAsia" w:ascii="微軟正黑體" w:hAnsi="微軟正黑體" w:eastAsia="微軟正黑體"/>
                <w:sz w:val="22"/>
                <w:szCs w:val="22"/>
              </w:rPr>
            </w:r>
            <w:r>
              <w:rPr>
                <w:rFonts w:hint="eastAsia" w:ascii="微軟正黑體" w:hAnsi="微軟正黑體" w:eastAsia="微軟正黑體"/>
                <w:sz w:val="22"/>
                <w:szCs w:val="22"/>
              </w:rPr>
            </w:r>
          </w:p>
          <w:p w14:paraId="05076983" w14:textId="212C138F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2</w:t>
            </w:r>
            <w:r>
              <w:rPr>
                <w:rFonts w:hint="eastAsia" w:ascii="微軟正黑體" w:hAnsi="微軟正黑體" w:eastAsia="微軟正黑體"/>
              </w:rPr>
              <w:t xml:space="preserve">具備證券相關證照或外文證照者尤佳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086770A1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【存匯、防洗作業】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03588026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具備防制洗錢及打擊資恐人員資格證書尤佳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7538D2FF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【市場風險管理】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  <w:p w14:paraId="20036C63" w14:textId="77777777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1.具備基本VBA撰寫能力,熟稔Exce1操作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27EEB153" w14:textId="3E61CD3C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2.具備FRM證照者尤佳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tcBorders/>
            <w:tcW w:w="2614" w:type="dxa"/>
          </w:tcPr>
          <w:p w14:paraId="52FB863A" w14:textId="4C279E5F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  <w:b/>
                <w:bCs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工作時間</w:t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  <w:r>
              <w:rPr>
                <w:rFonts w:hint="eastAsia" w:ascii="微軟正黑體" w:hAnsi="微軟正黑體" w:eastAsia="微軟正黑體"/>
                <w:b/>
                <w:bCs/>
              </w:rPr>
            </w:r>
          </w:p>
        </w:tc>
        <w:tc>
          <w:tcPr>
            <w:tcBorders/>
            <w:tcW w:w="3193" w:type="dxa"/>
          </w:tcPr>
          <w:p w14:paraId="165930AC" w14:textId="6F9D5EA8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周一~周五，每周40小時，0845~1730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  <w:tc>
          <w:tcPr>
            <w:tcBorders/>
            <w:tcW w:w="2035" w:type="dxa"/>
          </w:tcPr>
          <w:p w14:paraId="321FB9E0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實習待遇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76ACE28A" w14:textId="2B85F008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  <w:tc>
          <w:tcPr>
            <w:tcBorders/>
            <w:tcW w:w="2614" w:type="dxa"/>
          </w:tcPr>
          <w:p w14:paraId="6AD9427F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月薪 30,000元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  <w:p w14:paraId="617BC0D7" w14:textId="1C2F25AA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gridSpan w:val="3"/>
            <w:tcBorders/>
            <w:tcW w:w="7842" w:type="dxa"/>
          </w:tcPr>
          <w:p w14:paraId="11653790" w14:textId="5A8D6E90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勞保、健保、提撥勞退基金、團保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  <w:tc>
          <w:tcPr>
            <w:tcBorders/>
            <w:tcW w:w="2614" w:type="dxa"/>
          </w:tcPr>
          <w:p w14:paraId="731145A2" w14:textId="56D84688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有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  <w:tr>
        <w:trPr/>
        <w:tc>
          <w:tcPr>
            <w:tcBorders/>
            <w:tcW w:w="2614" w:type="dxa"/>
          </w:tcPr>
          <w:p w14:paraId="11DAD753" w14:textId="672DDA33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  <w:b/>
                <w:bCs/>
              </w:rPr>
              <w:t xml:space="preserve">簽訂實習合約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  <w:tc>
          <w:tcPr>
            <w:gridSpan w:val="3"/>
            <w:tcBorders/>
            <w:tcW w:w="7842" w:type="dxa"/>
          </w:tcPr>
          <w:p w14:paraId="6E237A58" w14:textId="24597EB2">
            <w:pPr>
              <w:pBdr/>
              <w:spacing w:line="360" w:lineRule="exact"/>
              <w:ind/>
              <w:rPr>
                <w:rFonts w:hint="eastAsia"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有</w:t>
            </w:r>
            <w:r>
              <w:rPr>
                <w:rFonts w:hint="eastAsia" w:ascii="微軟正黑體" w:hAnsi="微軟正黑體" w:eastAsia="微軟正黑體"/>
              </w:rPr>
            </w:r>
            <w:r>
              <w:rPr>
                <w:rFonts w:hint="eastAsia" w:ascii="微軟正黑體" w:hAnsi="微軟正黑體" w:eastAsia="微軟正黑體"/>
              </w:rPr>
            </w:r>
          </w:p>
        </w:tc>
      </w:tr>
    </w:tbl>
    <w:p w14:paraId="099964C8" w14:textId="77777777">
      <w:pPr>
        <w:pBdr/>
        <w:spacing/>
        <w:ind/>
        <w:rPr>
          <w:rFonts w:hint="eastAsia" w:ascii="微軟正黑體" w:hAnsi="微軟正黑體" w:eastAsia="微軟正黑體"/>
        </w:rPr>
      </w:pPr>
      <w:r>
        <w:rPr>
          <w:rFonts w:hint="eastAsia" w:ascii="微軟正黑體" w:hAnsi="微軟正黑體" w:eastAsia="微軟正黑體"/>
        </w:rPr>
      </w:r>
      <w:r>
        <w:rPr>
          <w:rFonts w:hint="eastAsia" w:ascii="微軟正黑體" w:hAnsi="微軟正黑體" w:eastAsia="微軟正黑體"/>
        </w:rPr>
      </w:r>
      <w:r>
        <w:rPr>
          <w:rFonts w:hint="eastAsia" w:ascii="微軟正黑體" w:hAnsi="微軟正黑體" w:eastAsia="微軟正黑體"/>
        </w:rPr>
      </w:r>
    </w:p>
    <w:sectPr>
      <w:footnotePr/>
      <w:endnotePr/>
      <w:type w:val="nextPage"/>
      <w:pgSz w:h="16838" w:orient="portrait" w:w="11906"/>
      <w:pgMar w:top="720" w:right="720" w:bottom="720" w:left="720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8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en-US" w:eastAsia="zh-TW" w:bidi="ar-SA"/>
        <w14:ligatures w14:val="standardContextual"/>
      </w:rPr>
    </w:rPrDefault>
    <w:pPrDefault>
      <w:pPr>
        <w:pBdr/>
        <w:spacing w:after="0" w:afterAutospacing="0" w:before="0" w:beforeAutospacing="0" w:line="360" w:lineRule="exact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4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29">
    <w:name w:val="Heading 1 Char"/>
    <w:basedOn w:val="883"/>
    <w:link w:val="8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0">
    <w:name w:val="Heading 2 Char"/>
    <w:basedOn w:val="883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1">
    <w:name w:val="Heading 3 Char"/>
    <w:basedOn w:val="883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2">
    <w:name w:val="Heading 4 Char"/>
    <w:basedOn w:val="883"/>
    <w:link w:val="87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3">
    <w:name w:val="Heading 5 Char"/>
    <w:basedOn w:val="883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4">
    <w:name w:val="Heading 6 Char"/>
    <w:basedOn w:val="883"/>
    <w:link w:val="87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5">
    <w:name w:val="Heading 7 Char"/>
    <w:basedOn w:val="883"/>
    <w:link w:val="88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6">
    <w:name w:val="Heading 8 Char"/>
    <w:basedOn w:val="883"/>
    <w:link w:val="8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Heading 9 Char"/>
    <w:basedOn w:val="883"/>
    <w:link w:val="88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Title Char"/>
    <w:basedOn w:val="883"/>
    <w:link w:val="89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9">
    <w:name w:val="Subtitle Char"/>
    <w:basedOn w:val="883"/>
    <w:link w:val="89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0">
    <w:name w:val="Quote Char"/>
    <w:basedOn w:val="883"/>
    <w:link w:val="89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1">
    <w:name w:val="Intense Quote Char"/>
    <w:basedOn w:val="883"/>
    <w:link w:val="903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842">
    <w:name w:val="No Spacing"/>
    <w:basedOn w:val="873"/>
    <w:uiPriority w:val="1"/>
    <w:qFormat/>
    <w:pPr>
      <w:pBdr/>
      <w:spacing w:after="0" w:line="240" w:lineRule="auto"/>
      <w:ind/>
    </w:pPr>
  </w:style>
  <w:style w:type="character" w:styleId="843">
    <w:name w:val="Subtle Emphasis"/>
    <w:basedOn w:val="88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4">
    <w:name w:val="Emphasis"/>
    <w:basedOn w:val="883"/>
    <w:uiPriority w:val="20"/>
    <w:qFormat/>
    <w:pPr>
      <w:pBdr/>
      <w:spacing/>
      <w:ind/>
    </w:pPr>
    <w:rPr>
      <w:i/>
      <w:iCs/>
    </w:rPr>
  </w:style>
  <w:style w:type="character" w:styleId="845">
    <w:name w:val="Strong"/>
    <w:basedOn w:val="883"/>
    <w:uiPriority w:val="22"/>
    <w:qFormat/>
    <w:pPr>
      <w:pBdr/>
      <w:spacing/>
      <w:ind/>
    </w:pPr>
    <w:rPr>
      <w:b/>
      <w:bCs/>
    </w:rPr>
  </w:style>
  <w:style w:type="character" w:styleId="846">
    <w:name w:val="Subtle Reference"/>
    <w:basedOn w:val="88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47">
    <w:name w:val="Book Title"/>
    <w:basedOn w:val="88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48">
    <w:name w:val="Header"/>
    <w:basedOn w:val="873"/>
    <w:link w:val="84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49">
    <w:name w:val="Header Char"/>
    <w:basedOn w:val="883"/>
    <w:link w:val="848"/>
    <w:uiPriority w:val="99"/>
    <w:pPr>
      <w:pBdr/>
      <w:spacing/>
      <w:ind/>
    </w:pPr>
  </w:style>
  <w:style w:type="paragraph" w:styleId="850">
    <w:name w:val="Footer"/>
    <w:basedOn w:val="873"/>
    <w:link w:val="85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1">
    <w:name w:val="Footer Char"/>
    <w:basedOn w:val="883"/>
    <w:link w:val="850"/>
    <w:uiPriority w:val="99"/>
    <w:pPr>
      <w:pBdr/>
      <w:spacing/>
      <w:ind/>
    </w:pPr>
  </w:style>
  <w:style w:type="paragraph" w:styleId="852">
    <w:name w:val="Caption"/>
    <w:basedOn w:val="873"/>
    <w:next w:val="8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53">
    <w:name w:val="footnote text"/>
    <w:basedOn w:val="873"/>
    <w:link w:val="85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4">
    <w:name w:val="Footnote Text Char"/>
    <w:basedOn w:val="883"/>
    <w:link w:val="853"/>
    <w:uiPriority w:val="99"/>
    <w:semiHidden/>
    <w:pPr>
      <w:pBdr/>
      <w:spacing/>
      <w:ind/>
    </w:pPr>
    <w:rPr>
      <w:sz w:val="20"/>
      <w:szCs w:val="20"/>
    </w:rPr>
  </w:style>
  <w:style w:type="character" w:styleId="855">
    <w:name w:val="footnote reference"/>
    <w:basedOn w:val="883"/>
    <w:uiPriority w:val="99"/>
    <w:semiHidden/>
    <w:unhideWhenUsed/>
    <w:pPr>
      <w:pBdr/>
      <w:spacing/>
      <w:ind/>
    </w:pPr>
    <w:rPr>
      <w:vertAlign w:val="superscript"/>
    </w:rPr>
  </w:style>
  <w:style w:type="paragraph" w:styleId="856">
    <w:name w:val="endnote text"/>
    <w:basedOn w:val="873"/>
    <w:link w:val="85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7">
    <w:name w:val="Endnote Text Char"/>
    <w:basedOn w:val="883"/>
    <w:link w:val="856"/>
    <w:uiPriority w:val="99"/>
    <w:semiHidden/>
    <w:pPr>
      <w:pBdr/>
      <w:spacing/>
      <w:ind/>
    </w:pPr>
    <w:rPr>
      <w:sz w:val="20"/>
      <w:szCs w:val="20"/>
    </w:rPr>
  </w:style>
  <w:style w:type="character" w:styleId="858">
    <w:name w:val="endnote reference"/>
    <w:basedOn w:val="883"/>
    <w:uiPriority w:val="99"/>
    <w:semiHidden/>
    <w:unhideWhenUsed/>
    <w:pPr>
      <w:pBdr/>
      <w:spacing/>
      <w:ind/>
    </w:pPr>
    <w:rPr>
      <w:vertAlign w:val="superscript"/>
    </w:rPr>
  </w:style>
  <w:style w:type="character" w:styleId="859">
    <w:name w:val="Hyperlink"/>
    <w:basedOn w:val="88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0">
    <w:name w:val="FollowedHyperlink"/>
    <w:basedOn w:val="8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1">
    <w:name w:val="toc 1"/>
    <w:basedOn w:val="873"/>
    <w:next w:val="873"/>
    <w:uiPriority w:val="39"/>
    <w:unhideWhenUsed/>
    <w:pPr>
      <w:pBdr/>
      <w:spacing w:after="100"/>
      <w:ind/>
    </w:pPr>
  </w:style>
  <w:style w:type="paragraph" w:styleId="862">
    <w:name w:val="toc 2"/>
    <w:basedOn w:val="873"/>
    <w:next w:val="873"/>
    <w:uiPriority w:val="39"/>
    <w:unhideWhenUsed/>
    <w:pPr>
      <w:pBdr/>
      <w:spacing w:after="100"/>
      <w:ind w:left="220"/>
    </w:pPr>
  </w:style>
  <w:style w:type="paragraph" w:styleId="863">
    <w:name w:val="toc 3"/>
    <w:basedOn w:val="873"/>
    <w:next w:val="873"/>
    <w:uiPriority w:val="39"/>
    <w:unhideWhenUsed/>
    <w:pPr>
      <w:pBdr/>
      <w:spacing w:after="100"/>
      <w:ind w:left="440"/>
    </w:pPr>
  </w:style>
  <w:style w:type="paragraph" w:styleId="864">
    <w:name w:val="toc 4"/>
    <w:basedOn w:val="873"/>
    <w:next w:val="873"/>
    <w:uiPriority w:val="39"/>
    <w:unhideWhenUsed/>
    <w:pPr>
      <w:pBdr/>
      <w:spacing w:after="100"/>
      <w:ind w:left="660"/>
    </w:pPr>
  </w:style>
  <w:style w:type="paragraph" w:styleId="865">
    <w:name w:val="toc 5"/>
    <w:basedOn w:val="873"/>
    <w:next w:val="873"/>
    <w:uiPriority w:val="39"/>
    <w:unhideWhenUsed/>
    <w:pPr>
      <w:pBdr/>
      <w:spacing w:after="100"/>
      <w:ind w:left="880"/>
    </w:pPr>
  </w:style>
  <w:style w:type="paragraph" w:styleId="866">
    <w:name w:val="toc 6"/>
    <w:basedOn w:val="873"/>
    <w:next w:val="873"/>
    <w:uiPriority w:val="39"/>
    <w:unhideWhenUsed/>
    <w:pPr>
      <w:pBdr/>
      <w:spacing w:after="100"/>
      <w:ind w:left="1100"/>
    </w:pPr>
  </w:style>
  <w:style w:type="paragraph" w:styleId="867">
    <w:name w:val="toc 7"/>
    <w:basedOn w:val="873"/>
    <w:next w:val="873"/>
    <w:uiPriority w:val="39"/>
    <w:unhideWhenUsed/>
    <w:pPr>
      <w:pBdr/>
      <w:spacing w:after="100"/>
      <w:ind w:left="1320"/>
    </w:pPr>
  </w:style>
  <w:style w:type="paragraph" w:styleId="868">
    <w:name w:val="toc 8"/>
    <w:basedOn w:val="873"/>
    <w:next w:val="873"/>
    <w:uiPriority w:val="39"/>
    <w:unhideWhenUsed/>
    <w:pPr>
      <w:pBdr/>
      <w:spacing w:after="100"/>
      <w:ind w:left="1540"/>
    </w:pPr>
  </w:style>
  <w:style w:type="paragraph" w:styleId="869">
    <w:name w:val="toc 9"/>
    <w:basedOn w:val="873"/>
    <w:next w:val="873"/>
    <w:uiPriority w:val="39"/>
    <w:unhideWhenUsed/>
    <w:pPr>
      <w:pBdr/>
      <w:spacing w:after="100"/>
      <w:ind w:left="1760"/>
    </w:pPr>
  </w:style>
  <w:style w:type="character" w:styleId="870">
    <w:name w:val="Placeholder Text"/>
    <w:basedOn w:val="883"/>
    <w:uiPriority w:val="99"/>
    <w:semiHidden/>
    <w:pPr>
      <w:pBdr/>
      <w:spacing/>
      <w:ind/>
    </w:pPr>
    <w:rPr>
      <w:color w:val="666666"/>
    </w:rPr>
  </w:style>
  <w:style w:type="paragraph" w:styleId="871">
    <w:name w:val="TOC Heading"/>
    <w:uiPriority w:val="39"/>
    <w:unhideWhenUsed/>
    <w:pPr>
      <w:pBdr/>
      <w:spacing/>
      <w:ind/>
    </w:pPr>
  </w:style>
  <w:style w:type="paragraph" w:styleId="872">
    <w:name w:val="table of figures"/>
    <w:basedOn w:val="873"/>
    <w:next w:val="873"/>
    <w:uiPriority w:val="99"/>
    <w:unhideWhenUsed/>
    <w:pPr>
      <w:pBdr/>
      <w:spacing w:after="0" w:afterAutospacing="0"/>
      <w:ind/>
    </w:pPr>
  </w:style>
  <w:style w:type="paragraph" w:styleId="873" w:default="1">
    <w:name w:val="Normal"/>
    <w:qFormat/>
    <w:pPr>
      <w:pBdr/>
      <w:spacing/>
      <w:ind/>
    </w:pPr>
  </w:style>
  <w:style w:type="paragraph" w:styleId="874">
    <w:name w:val="Heading 1"/>
    <w:basedOn w:val="873"/>
    <w:next w:val="873"/>
    <w:link w:val="886"/>
    <w:uiPriority w:val="9"/>
    <w:qFormat/>
    <w:pPr>
      <w:keepNext w:val="true"/>
      <w:keepLines w:val="true"/>
      <w:pBdr/>
      <w:spacing w:after="80" w:before="48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875">
    <w:name w:val="Heading 2"/>
    <w:basedOn w:val="873"/>
    <w:next w:val="873"/>
    <w:link w:val="887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876">
    <w:name w:val="Heading 3"/>
    <w:basedOn w:val="873"/>
    <w:next w:val="873"/>
    <w:link w:val="888"/>
    <w:uiPriority w:val="9"/>
    <w:semiHidden/>
    <w:unhideWhenUsed/>
    <w:qFormat/>
    <w:pPr>
      <w:keepNext w:val="true"/>
      <w:keepLines w:val="true"/>
      <w:pBdr/>
      <w:spacing w:after="40" w:before="160"/>
      <w:ind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877">
    <w:name w:val="Heading 4"/>
    <w:basedOn w:val="873"/>
    <w:next w:val="873"/>
    <w:link w:val="889"/>
    <w:uiPriority w:val="9"/>
    <w:semiHidden/>
    <w:unhideWhenUsed/>
    <w:qFormat/>
    <w:pPr>
      <w:keepNext w:val="true"/>
      <w:keepLines w:val="true"/>
      <w:pBdr/>
      <w:spacing w:after="40" w:before="160"/>
      <w:ind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878">
    <w:name w:val="Heading 5"/>
    <w:basedOn w:val="873"/>
    <w:next w:val="873"/>
    <w:link w:val="890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879">
    <w:name w:val="Heading 6"/>
    <w:basedOn w:val="873"/>
    <w:next w:val="873"/>
    <w:link w:val="891"/>
    <w:uiPriority w:val="9"/>
    <w:semiHidden/>
    <w:unhideWhenUsed/>
    <w:qFormat/>
    <w:pPr>
      <w:keepNext w:val="true"/>
      <w:keepLines w:val="true"/>
      <w:pBdr/>
      <w:spacing w:before="40"/>
      <w:ind/>
      <w:outlineLvl w:val="5"/>
    </w:pPr>
    <w:rPr>
      <w:rFonts w:eastAsiaTheme="majorEastAsia" w:cstheme="majorBidi"/>
      <w:color w:val="595959" w:themeColor="text1" w:themeTint="A6"/>
    </w:rPr>
  </w:style>
  <w:style w:type="paragraph" w:styleId="880">
    <w:name w:val="Heading 7"/>
    <w:basedOn w:val="873"/>
    <w:next w:val="873"/>
    <w:link w:val="892"/>
    <w:uiPriority w:val="9"/>
    <w:semiHidden/>
    <w:unhideWhenUsed/>
    <w:qFormat/>
    <w:pPr>
      <w:keepNext w:val="true"/>
      <w:keepLines w:val="true"/>
      <w:pBdr/>
      <w:spacing w:before="40"/>
      <w:ind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81">
    <w:name w:val="Heading 8"/>
    <w:basedOn w:val="873"/>
    <w:next w:val="873"/>
    <w:link w:val="893"/>
    <w:uiPriority w:val="9"/>
    <w:semiHidden/>
    <w:unhideWhenUsed/>
    <w:qFormat/>
    <w:pPr>
      <w:keepNext w:val="true"/>
      <w:keepLines w:val="true"/>
      <w:pBdr/>
      <w:spacing w:before="40"/>
      <w:ind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882">
    <w:name w:val="Heading 9"/>
    <w:basedOn w:val="873"/>
    <w:next w:val="873"/>
    <w:link w:val="894"/>
    <w:uiPriority w:val="9"/>
    <w:semiHidden/>
    <w:unhideWhenUsed/>
    <w:qFormat/>
    <w:pPr>
      <w:keepNext w:val="true"/>
      <w:keepLines w:val="true"/>
      <w:pBdr/>
      <w:spacing w:before="40"/>
      <w:ind w:left="300"/>
      <w:outlineLvl w:val="8"/>
    </w:pPr>
    <w:rPr>
      <w:rFonts w:eastAsiaTheme="majorEastAsia" w:cstheme="majorBidi"/>
      <w:color w:val="272727" w:themeColor="text1" w:themeTint="D8"/>
    </w:rPr>
  </w:style>
  <w:style w:type="character" w:styleId="883" w:default="1">
    <w:name w:val="Default Paragraph Font"/>
    <w:uiPriority w:val="1"/>
    <w:semiHidden/>
    <w:unhideWhenUsed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character" w:styleId="886" w:customStyle="1">
    <w:name w:val="標題 1 字元"/>
    <w:basedOn w:val="883"/>
    <w:link w:val="874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styleId="887" w:customStyle="1">
    <w:name w:val="標題 2 字元"/>
    <w:basedOn w:val="883"/>
    <w:link w:val="87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888" w:customStyle="1">
    <w:name w:val="標題 3 字元"/>
    <w:basedOn w:val="883"/>
    <w:link w:val="876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32"/>
      <w:szCs w:val="32"/>
    </w:rPr>
  </w:style>
  <w:style w:type="character" w:styleId="889" w:customStyle="1">
    <w:name w:val="標題 4 字元"/>
    <w:basedOn w:val="883"/>
    <w:link w:val="87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890" w:customStyle="1">
    <w:name w:val="標題 5 字元"/>
    <w:basedOn w:val="883"/>
    <w:link w:val="878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891" w:customStyle="1">
    <w:name w:val="標題 6 字元"/>
    <w:basedOn w:val="883"/>
    <w:link w:val="879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892" w:customStyle="1">
    <w:name w:val="標題 7 字元"/>
    <w:basedOn w:val="883"/>
    <w:link w:val="880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893" w:customStyle="1">
    <w:name w:val="標題 8 字元"/>
    <w:basedOn w:val="883"/>
    <w:link w:val="881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character" w:styleId="894" w:customStyle="1">
    <w:name w:val="標題 9 字元"/>
    <w:basedOn w:val="883"/>
    <w:link w:val="882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895">
    <w:name w:val="Title"/>
    <w:basedOn w:val="873"/>
    <w:next w:val="873"/>
    <w:link w:val="896"/>
    <w:uiPriority w:val="10"/>
    <w:qFormat/>
    <w:pPr>
      <w:pBdr/>
      <w:spacing w:after="80" w:line="240" w:lineRule="auto"/>
      <w:ind/>
      <w:contextualSpacing w:val="true"/>
      <w:jc w:val="center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96" w:customStyle="1">
    <w:name w:val="標題 字元"/>
    <w:basedOn w:val="883"/>
    <w:link w:val="895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97">
    <w:name w:val="Subtitle"/>
    <w:basedOn w:val="873"/>
    <w:next w:val="873"/>
    <w:link w:val="898"/>
    <w:uiPriority w:val="11"/>
    <w:qFormat/>
    <w:pPr>
      <w:numPr>
        <w:ilvl w:val="1"/>
      </w:numPr>
      <w:pBdr/>
      <w:spacing w:after="160"/>
      <w:ind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898" w:customStyle="1">
    <w:name w:val="副標題 字元"/>
    <w:basedOn w:val="883"/>
    <w:link w:val="897"/>
    <w:uiPriority w:val="11"/>
    <w:pPr>
      <w:pBdr/>
      <w:spacing/>
      <w:ind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899">
    <w:name w:val="Quote"/>
    <w:basedOn w:val="873"/>
    <w:next w:val="873"/>
    <w:link w:val="900"/>
    <w:uiPriority w:val="29"/>
    <w:qFormat/>
    <w:pPr>
      <w:pBdr/>
      <w:spacing w:after="160" w:before="160"/>
      <w:ind/>
      <w:jc w:val="center"/>
    </w:pPr>
    <w:rPr>
      <w:i/>
      <w:iCs/>
      <w:color w:val="404040" w:themeColor="text1" w:themeTint="BF"/>
    </w:rPr>
  </w:style>
  <w:style w:type="character" w:styleId="900" w:customStyle="1">
    <w:name w:val="引文 字元"/>
    <w:basedOn w:val="883"/>
    <w:link w:val="89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01">
    <w:name w:val="List Paragraph"/>
    <w:basedOn w:val="873"/>
    <w:uiPriority w:val="34"/>
    <w:qFormat/>
    <w:pPr>
      <w:pBdr/>
      <w:spacing/>
      <w:ind w:left="720"/>
      <w:contextualSpacing w:val="true"/>
    </w:pPr>
  </w:style>
  <w:style w:type="character" w:styleId="902">
    <w:name w:val="Intense Emphasis"/>
    <w:basedOn w:val="88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3">
    <w:name w:val="Intense Quote"/>
    <w:basedOn w:val="873"/>
    <w:next w:val="873"/>
    <w:link w:val="90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4" w:customStyle="1">
    <w:name w:val="鮮明引文 字元"/>
    <w:basedOn w:val="883"/>
    <w:link w:val="90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5">
    <w:name w:val="Intense Reference"/>
    <w:basedOn w:val="88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table" w:styleId="906">
    <w:name w:val="Table Grid"/>
    <w:basedOn w:val="884"/>
    <w:uiPriority w:val="39"/>
    <w:pPr>
      <w:pBdr/>
      <w:spacing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reurl.cc/gNRZx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Hsiu-Ping Chen</dc:creator>
  <cp:keywords/>
  <dc:description/>
  <cp:revision>4</cp:revision>
  <dcterms:created xsi:type="dcterms:W3CDTF">2026-09-01T07:55:00Z</dcterms:created>
  <dcterms:modified xsi:type="dcterms:W3CDTF">2026-09-08T07:07:16Z</dcterms:modified>
</cp:coreProperties>
</file>